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EB" w:rsidRPr="008144EB" w:rsidRDefault="008144EB" w:rsidP="008144E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EB">
        <w:rPr>
          <w:rFonts w:ascii="Times New Roman" w:hAnsi="Times New Roman" w:cs="Times New Roman"/>
          <w:bCs/>
          <w:sz w:val="28"/>
          <w:szCs w:val="28"/>
        </w:rPr>
        <w:t>Пониженные налоговые ставки по земельному налогу применяются к земельным участкам, которые используются для удовлетворения личных потребностей, а не в коммерческих целях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44EB" w:rsidRPr="008144EB" w:rsidRDefault="008144EB" w:rsidP="008144E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4EB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для личного подсобного хозяйства, садоводства и огородничества, установлена пониженная налоговая ставка по земельному налогу в размере не выше 0,3 процента кадастровой стоимости.</w:t>
      </w:r>
    </w:p>
    <w:p w:rsidR="008144EB" w:rsidRPr="008144EB" w:rsidRDefault="008144EB" w:rsidP="008144E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4EB">
        <w:rPr>
          <w:rFonts w:ascii="Times New Roman" w:hAnsi="Times New Roman" w:cs="Times New Roman"/>
          <w:sz w:val="28"/>
          <w:szCs w:val="28"/>
        </w:rPr>
        <w:t>Сообщается, что в случае использования указанных земельных участков в коммерческой деятельности подлежат применению налоговые ставки, устанавливаемые для прочих земельных участков в пределах до 1,5 процентов кадастровой стоимости (данный вывод подтверждается судебной практикой). Кроме того, соответствующие уточнения в статью 394 НК РФ внесены Федеральным законом от 15.04.2019 N 63-ФЗ, которые вступят в силу с 1 января 2020 года.</w:t>
      </w:r>
    </w:p>
    <w:p w:rsidR="00C479F6" w:rsidRPr="008144EB" w:rsidRDefault="00C479F6">
      <w:pPr>
        <w:rPr>
          <w:rFonts w:ascii="Times New Roman" w:hAnsi="Times New Roman" w:cs="Times New Roman"/>
        </w:rPr>
      </w:pPr>
    </w:p>
    <w:sectPr w:rsidR="00C479F6" w:rsidRPr="0081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44EB"/>
    <w:rsid w:val="008144EB"/>
    <w:rsid w:val="00C4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2019-07-03T07:29:00Z</dcterms:created>
  <dcterms:modified xsi:type="dcterms:W3CDTF">2019-07-03T07:29:00Z</dcterms:modified>
</cp:coreProperties>
</file>